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27C06" w14:textId="3CC8DBCE" w:rsidR="00845EB1" w:rsidRPr="0068244B" w:rsidRDefault="00845EB1" w:rsidP="00845EB1">
      <w:pPr>
        <w:jc w:val="center"/>
        <w:rPr>
          <w:rFonts w:ascii="Times New Roman" w:hAnsi="Times New Roman"/>
          <w:b/>
          <w:sz w:val="24"/>
        </w:rPr>
      </w:pPr>
      <w:r>
        <w:rPr>
          <w:rFonts w:ascii="Times New Roman" w:hAnsi="Times New Roman"/>
          <w:b/>
          <w:sz w:val="24"/>
        </w:rPr>
        <w:t>SL</w:t>
      </w:r>
      <w:r>
        <w:t xml:space="preserve"> </w:t>
      </w:r>
      <w:r>
        <w:br/>
      </w:r>
      <w:r>
        <w:rPr>
          <w:rFonts w:ascii="Times New Roman" w:hAnsi="Times New Roman"/>
          <w:b/>
          <w:sz w:val="24"/>
        </w:rPr>
        <w:t>PRILOGA VIII</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rPr>
      </w:pPr>
      <w:r>
        <w:rPr>
          <w:b/>
          <w:u w:val="single"/>
        </w:rPr>
        <w:t>„PRILOGA XXI</w:t>
      </w:r>
    </w:p>
    <w:p w14:paraId="55B2E7E1" w14:textId="45F1B4D9" w:rsidR="0040604D" w:rsidRPr="0068244B" w:rsidRDefault="0040604D" w:rsidP="00D02291">
      <w:pPr>
        <w:jc w:val="center"/>
        <w:rPr>
          <w:b/>
        </w:rPr>
      </w:pPr>
      <w:r>
        <w:rPr>
          <w:b/>
        </w:rPr>
        <w:t>NAVODILA ZA IZPOLNJEVANJE PREDLOGE ZA KONCENTRACIJO SEKUNDARNE LIKVIDNOSTI (C 71.00) IZ PRILOGE XX</w:t>
      </w:r>
    </w:p>
    <w:p w14:paraId="4B767D67" w14:textId="77777777" w:rsidR="0040604D" w:rsidRPr="0068244B" w:rsidRDefault="0040604D" w:rsidP="00845EB1">
      <w:pPr>
        <w:pStyle w:val="InstructionsText"/>
      </w:pPr>
    </w:p>
    <w:p w14:paraId="1BB5AA04" w14:textId="77777777" w:rsidR="00E05204" w:rsidRPr="0068244B" w:rsidRDefault="00E05204" w:rsidP="00E05204">
      <w:pPr>
        <w:rPr>
          <w:rFonts w:ascii="Times New Roman" w:hAnsi="Times New Roman"/>
          <w:sz w:val="24"/>
          <w:u w:val="single"/>
        </w:rPr>
      </w:pPr>
      <w:r>
        <w:rPr>
          <w:rFonts w:ascii="Times New Roman" w:hAnsi="Times New Roman"/>
          <w:sz w:val="24"/>
          <w:u w:val="single"/>
        </w:rPr>
        <w:t>Koncentracija sekundarne likvidnosti po izdajatelju/nasprotni stranki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tab/>
      </w:r>
      <w:r>
        <w:rPr>
          <w:rFonts w:ascii="Times New Roman" w:hAnsi="Times New Roman"/>
          <w:sz w:val="24"/>
        </w:rPr>
        <w:t>Za zbiranje informacij o koncentraciji sekundarne likvidnosti institucij poročevalk glede na deset največjih imetij sredstev ali kreditnih linij, odobrenih instituciji v ta namen, v predlogi C 71.00 institucije upoštevajo navodila iz te priloge.</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Kadar se izdajatelju ali nasprotni stranki dodeli več kot ena vrsta produkta, valuta ali stopnja kreditne kakovosti, se poroča skupni znesek. Poročajo se tiste vrste produkta, valute ali stopnje kreditne kakovosti, ki zadevajo največji delež koncentracije sekundarne likvidnosti.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Sekundarna likvidnost v predlogi C 71.00 je enaka kot v predlogi C 66.01 pod pogojem, da sredstva, ki se poročajo kot sekundarna likvidnost za namene predloge C 71.00, niso obremenjena, tako da so instituciji na referenčni datum poročanja na voljo za pretvorbo v denarna sredstva.</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Za izračun koncentracij za namen predloge za poročanje C 71.00 po pomembnih valutah institucije uporabijo koncentracije v vseh valutah.</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Kadar izdajatelj ali nasprotna stranka pripada več skupinam povezanih strank, se poroča samo enkrat v skupini z višjo koncentracijo sekundarne likvidnosti.</w:t>
      </w:r>
    </w:p>
    <w:p w14:paraId="2C0B2260" w14:textId="45FF6BEE"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Razen za vrstico 0120 se v tej predlogi ne poročajo koncentracije sekundarne likvidnosti, pri katerih je izdajatelj ali nasprotna stranka centralna banka. V primeru, da je institucija predhodno vložila sredstva pri centralni banki za standardne likvidnostne operacije, in v obsegu, v katerem ta sredstva spadajo med deset največjih izdajateljev ali nasprotnih strank neobremenjene sekundarne likvidnosti, institucija poroča prvotnega izdajatelja in prvotno vrsto produkta.</w:t>
      </w:r>
    </w:p>
    <w:p w14:paraId="423289FA" w14:textId="77777777" w:rsidR="00E05204" w:rsidRPr="00987570"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t>Stolpec</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rPr>
            </w:pPr>
            <w:r>
              <w:rPr>
                <w:rFonts w:ascii="Times New Roman" w:hAnsi="Times New Roman"/>
                <w:sz w:val="24"/>
              </w:rPr>
              <w:t>Pravna podlaga in navodila</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73E89BCB" w:rsidR="00E05204" w:rsidRPr="0068244B" w:rsidRDefault="004C1638" w:rsidP="00D665FC">
            <w:pPr>
              <w:rPr>
                <w:rFonts w:ascii="Times New Roman" w:hAnsi="Times New Roman"/>
                <w:b/>
                <w:sz w:val="24"/>
                <w:u w:val="single"/>
              </w:rPr>
            </w:pPr>
            <w:r>
              <w:rPr>
                <w:rFonts w:ascii="Times New Roman" w:hAnsi="Times New Roman"/>
                <w:b/>
                <w:sz w:val="24"/>
                <w:u w:val="single"/>
              </w:rPr>
              <w:t>Ime izdajatelja</w:t>
            </w:r>
          </w:p>
          <w:p w14:paraId="36B02E7E" w14:textId="3FDFB966" w:rsidR="00E05204" w:rsidRPr="0068244B" w:rsidRDefault="00E05204" w:rsidP="00D665FC">
            <w:pPr>
              <w:rPr>
                <w:rFonts w:ascii="Times New Roman" w:hAnsi="Times New Roman"/>
                <w:sz w:val="24"/>
              </w:rPr>
            </w:pPr>
            <w:r>
              <w:rPr>
                <w:rFonts w:ascii="Times New Roman" w:hAnsi="Times New Roman"/>
                <w:sz w:val="24"/>
              </w:rPr>
              <w:t>Imena desetih največjih izdajateljev neobremenjenih sredstev ali nasprotnih strank nečrpanih kreditnih linij, odobrenih instituciji, se poročajo v stolpcu 0010 v padajočem vrstnem redu. Največja postavka bo zabeležena v vrstični postavki 1.01, druga največja v vrstični postavki 1.02 itd.</w:t>
            </w:r>
            <w:r>
              <w:t xml:space="preserve"> </w:t>
            </w:r>
            <w:r>
              <w:rPr>
                <w:rFonts w:ascii="Times New Roman" w:hAnsi="Times New Roman"/>
                <w:sz w:val="24"/>
              </w:rPr>
              <w:t>Izdajatelji in nasprotne stranke, ki tvorijo skupino povezanih strank, se poročajo kot ena sama koncentracija.</w:t>
            </w:r>
          </w:p>
          <w:p w14:paraId="4E01B5DA" w14:textId="4F0E946D" w:rsidR="00E05204" w:rsidRPr="0068244B" w:rsidRDefault="00E05204" w:rsidP="00C05CCA">
            <w:pPr>
              <w:rPr>
                <w:rFonts w:ascii="Times New Roman" w:hAnsi="Times New Roman"/>
                <w:sz w:val="24"/>
              </w:rPr>
            </w:pPr>
            <w:r>
              <w:rPr>
                <w:rFonts w:ascii="Times New Roman" w:hAnsi="Times New Roman"/>
                <w:sz w:val="24"/>
              </w:rPr>
              <w:lastRenderedPageBreak/>
              <w:t>Navedeno ime izdajatelja ali nasprotne stranke je polno ime pravnega subjekta, ki je izdal sredstva ali odobril kreditne linije, vključno z vsemi sklici na vrsto podjetja v skladu z nacionalnim pravom družb.</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lastRenderedPageBreak/>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Koda LEI</w:t>
            </w:r>
          </w:p>
          <w:p w14:paraId="7861A1B2" w14:textId="0A8A8B52" w:rsidR="00E05204" w:rsidRPr="0068244B" w:rsidRDefault="00E05204" w:rsidP="00C05CCA">
            <w:pPr>
              <w:rPr>
                <w:b/>
                <w:sz w:val="24"/>
              </w:rPr>
            </w:pPr>
            <w:r>
              <w:rPr>
                <w:rFonts w:ascii="Times New Roman" w:hAnsi="Times New Roman"/>
                <w:sz w:val="24"/>
              </w:rPr>
              <w:t xml:space="preserve">Koda identifikatorja pravnih subjektov nasprotne stranke.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Sektor izdajatelja</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Vsaki nasprotni stranki ali izdajatelju se dodeli en sektor ob upoštevanju naslednjih razredov gospodarskega sektorja za namene finančnega poročanja ([FINREP]) (glej del 1 Priloge V k tej izvedbeni uredbi):</w:t>
            </w:r>
          </w:p>
          <w:p w14:paraId="563180C8" w14:textId="31A14F6F"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sektor država; (ii) kreditne institucije; (iii) druge finančne družbe; (iv) nefinančne družbe; (v) gospodinjstva. </w:t>
            </w:r>
          </w:p>
          <w:p w14:paraId="3E53ACDF" w14:textId="14712E31" w:rsidR="00E05204" w:rsidRPr="0068244B" w:rsidRDefault="00E05204" w:rsidP="008C0F1F">
            <w:pPr>
              <w:rPr>
                <w:rFonts w:ascii="Times New Roman" w:hAnsi="Times New Roman"/>
                <w:sz w:val="24"/>
              </w:rPr>
            </w:pPr>
            <w:r>
              <w:rPr>
                <w:rStyle w:val="FormatvorlageInstructionsTabelleText"/>
                <w:rFonts w:ascii="Times New Roman" w:hAnsi="Times New Roman"/>
                <w:sz w:val="24"/>
              </w:rPr>
              <w:t xml:space="preserve">Pri skupinah povezanih strank se sektor ne poroča.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488287EA" w:rsidR="00E05204" w:rsidRPr="0068244B" w:rsidRDefault="00E05204" w:rsidP="00D665FC">
            <w:pPr>
              <w:rPr>
                <w:rFonts w:ascii="Times New Roman" w:hAnsi="Times New Roman"/>
                <w:b/>
                <w:sz w:val="24"/>
                <w:u w:val="single"/>
              </w:rPr>
            </w:pPr>
            <w:r>
              <w:rPr>
                <w:rFonts w:ascii="Times New Roman" w:hAnsi="Times New Roman"/>
                <w:b/>
                <w:sz w:val="24"/>
                <w:u w:val="single"/>
              </w:rPr>
              <w:t xml:space="preserve">Sedež izdajatelja </w:t>
            </w:r>
          </w:p>
          <w:p w14:paraId="0F33DF35" w14:textId="52A4F552"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 xml:space="preserve">Uporabi se koda ISO 3166-1-alfa-2 države registracije izdajatelja ali nasprotne stranke, vključno s </w:t>
            </w:r>
            <w:proofErr w:type="spellStart"/>
            <w:r>
              <w:rPr>
                <w:rStyle w:val="FormatvorlageInstructionsTabelleText"/>
                <w:rFonts w:ascii="Times New Roman" w:hAnsi="Times New Roman"/>
                <w:sz w:val="24"/>
              </w:rPr>
              <w:t>psevdo</w:t>
            </w:r>
            <w:proofErr w:type="spellEnd"/>
            <w:r>
              <w:rPr>
                <w:rStyle w:val="FormatvorlageInstructionsTabelleText"/>
                <w:rFonts w:ascii="Times New Roman" w:hAnsi="Times New Roman"/>
                <w:sz w:val="24"/>
              </w:rPr>
              <w:t xml:space="preserve"> kodami ISO za mednarodne organizacije,</w:t>
            </w:r>
            <w:r>
              <w:rPr>
                <w:rFonts w:ascii="Times New Roman" w:hAnsi="Times New Roman"/>
                <w:sz w:val="24"/>
              </w:rPr>
              <w:t xml:space="preserve"> ki so na voljo v zadnji izdaji </w:t>
            </w:r>
            <w:proofErr w:type="spellStart"/>
            <w:r>
              <w:rPr>
                <w:rFonts w:ascii="Times New Roman" w:hAnsi="Times New Roman"/>
                <w:sz w:val="24"/>
              </w:rPr>
              <w:t>Eurostatovega</w:t>
            </w:r>
            <w:proofErr w:type="spellEnd"/>
            <w:r>
              <w:rPr>
                <w:rFonts w:ascii="Times New Roman" w:hAnsi="Times New Roman"/>
                <w:sz w:val="24"/>
              </w:rPr>
              <w:t xml:space="preserve"> priročnika za posredovanje podatkov o bilancah stanja (Balance </w:t>
            </w:r>
            <w:proofErr w:type="spellStart"/>
            <w:r>
              <w:rPr>
                <w:rFonts w:ascii="Times New Roman" w:hAnsi="Times New Roman"/>
                <w:sz w:val="24"/>
              </w:rPr>
              <w:t>of</w:t>
            </w:r>
            <w:proofErr w:type="spellEnd"/>
            <w:r>
              <w:rPr>
                <w:rFonts w:ascii="Times New Roman" w:hAnsi="Times New Roman"/>
                <w:sz w:val="24"/>
              </w:rPr>
              <w:t xml:space="preserve"> </w:t>
            </w:r>
            <w:proofErr w:type="spellStart"/>
            <w:r>
              <w:rPr>
                <w:rFonts w:ascii="Times New Roman" w:hAnsi="Times New Roman"/>
                <w:sz w:val="24"/>
              </w:rPr>
              <w:t>Payments</w:t>
            </w:r>
            <w:proofErr w:type="spellEnd"/>
            <w:r>
              <w:rPr>
                <w:rFonts w:ascii="Times New Roman" w:hAnsi="Times New Roman"/>
                <w:sz w:val="24"/>
              </w:rPr>
              <w:t xml:space="preserve"> </w:t>
            </w:r>
            <w:proofErr w:type="spellStart"/>
            <w:r>
              <w:rPr>
                <w:rFonts w:ascii="Times New Roman" w:hAnsi="Times New Roman"/>
                <w:sz w:val="24"/>
              </w:rPr>
              <w:t>Vademecum</w:t>
            </w:r>
            <w:proofErr w:type="spellEnd"/>
            <w:r>
              <w:rPr>
                <w:rFonts w:ascii="Times New Roman" w:hAnsi="Times New Roman"/>
                <w:sz w:val="24"/>
              </w:rPr>
              <w:t>)</w:t>
            </w:r>
            <w:r>
              <w:rPr>
                <w:rStyle w:val="FormatvorlageInstructionsTabelleText"/>
                <w:rFonts w:ascii="Times New Roman" w:hAnsi="Times New Roman"/>
                <w:sz w:val="24"/>
              </w:rPr>
              <w:t xml:space="preserve">. </w:t>
            </w:r>
          </w:p>
          <w:p w14:paraId="60598FF1" w14:textId="5505D19C"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 xml:space="preserve">Pri skupinah povezanih strank se država ne poroča.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Vrsta produkta</w:t>
            </w:r>
          </w:p>
          <w:p w14:paraId="7DC48699" w14:textId="4D5DEEF0" w:rsidR="00E05204" w:rsidRPr="0068244B" w:rsidRDefault="00E05204" w:rsidP="00D665FC">
            <w:pPr>
              <w:rPr>
                <w:rFonts w:ascii="Times New Roman" w:hAnsi="Times New Roman"/>
                <w:sz w:val="24"/>
              </w:rPr>
            </w:pPr>
            <w:r>
              <w:rPr>
                <w:rFonts w:ascii="Times New Roman" w:hAnsi="Times New Roman"/>
                <w:sz w:val="24"/>
              </w:rPr>
              <w:t>Izdajateljem/nasprotnim strankam iz stolpca 0010 se dodeli vrsta produkta, ki ustreza produktu, v katerem je sredstvo ali v katerem je bil zagotovljen rezervni okvirni likvidnostni kredit, pri čemer se uporabijo naslednje kode, ki so navedene v krepkem tisku:</w:t>
            </w:r>
          </w:p>
          <w:p w14:paraId="1CB9AEA2" w14:textId="77777777" w:rsidR="00E05204" w:rsidRPr="0068244B" w:rsidRDefault="00E05204" w:rsidP="00D665FC">
            <w:pPr>
              <w:rPr>
                <w:rFonts w:ascii="Times New Roman" w:hAnsi="Times New Roman"/>
                <w:sz w:val="24"/>
              </w:rPr>
            </w:pPr>
            <w:bookmarkStart w:id="0" w:name="OLE_LINK1"/>
            <w:proofErr w:type="spellStart"/>
            <w:r>
              <w:rPr>
                <w:rFonts w:ascii="Times New Roman" w:hAnsi="Times New Roman"/>
                <w:b/>
                <w:sz w:val="24"/>
              </w:rPr>
              <w:t>SrB</w:t>
            </w:r>
            <w:proofErr w:type="spellEnd"/>
            <w:r>
              <w:rPr>
                <w:rFonts w:ascii="Times New Roman" w:hAnsi="Times New Roman"/>
                <w:sz w:val="24"/>
              </w:rPr>
              <w:t xml:space="preserve"> (</w:t>
            </w:r>
            <w:r>
              <w:rPr>
                <w:rStyle w:val="FormatvorlageInstructionsTabelleText"/>
                <w:rFonts w:ascii="Times New Roman" w:hAnsi="Times New Roman"/>
                <w:sz w:val="24"/>
              </w:rPr>
              <w:t>nadrejena</w:t>
            </w:r>
            <w:r>
              <w:rPr>
                <w:rFonts w:ascii="Times New Roman" w:hAnsi="Times New Roman"/>
                <w:sz w:val="24"/>
              </w:rPr>
              <w:t xml:space="preserve"> obveznica); </w:t>
            </w:r>
          </w:p>
          <w:p w14:paraId="6ADB0D10" w14:textId="77777777" w:rsidR="00E05204" w:rsidRPr="0068244B" w:rsidRDefault="00E05204" w:rsidP="00D665FC">
            <w:pPr>
              <w:rPr>
                <w:rFonts w:ascii="Times New Roman" w:hAnsi="Times New Roman"/>
                <w:sz w:val="24"/>
              </w:rPr>
            </w:pPr>
            <w:proofErr w:type="spellStart"/>
            <w:r>
              <w:rPr>
                <w:rFonts w:ascii="Times New Roman" w:hAnsi="Times New Roman"/>
                <w:b/>
                <w:sz w:val="24"/>
              </w:rPr>
              <w:t>SubB</w:t>
            </w:r>
            <w:proofErr w:type="spellEnd"/>
            <w:r>
              <w:rPr>
                <w:rFonts w:ascii="Times New Roman" w:hAnsi="Times New Roman"/>
                <w:sz w:val="24"/>
              </w:rPr>
              <w:t xml:space="preserve"> (</w:t>
            </w:r>
            <w:r>
              <w:rPr>
                <w:rStyle w:val="FormatvorlageInstructionsTabelleText"/>
                <w:rFonts w:ascii="Times New Roman" w:hAnsi="Times New Roman"/>
                <w:sz w:val="24"/>
              </w:rPr>
              <w:t>podrejena</w:t>
            </w:r>
            <w:r>
              <w:rPr>
                <w:rFonts w:ascii="Times New Roman" w:hAnsi="Times New Roman"/>
                <w:sz w:val="24"/>
              </w:rPr>
              <w:t xml:space="preserve"> obveznica);</w:t>
            </w:r>
          </w:p>
          <w:p w14:paraId="08EFBEC2" w14:textId="77777777" w:rsidR="00E05204" w:rsidRPr="0068244B" w:rsidRDefault="00E05204" w:rsidP="00A36F2D">
            <w:pPr>
              <w:rPr>
                <w:rFonts w:ascii="Times New Roman" w:hAnsi="Times New Roman"/>
                <w:sz w:val="24"/>
              </w:rPr>
            </w:pPr>
            <w:r>
              <w:rPr>
                <w:rFonts w:ascii="Times New Roman" w:hAnsi="Times New Roman"/>
                <w:b/>
                <w:sz w:val="24"/>
              </w:rPr>
              <w:t>CP</w:t>
            </w:r>
            <w:r>
              <w:rPr>
                <w:rFonts w:ascii="Times New Roman" w:hAnsi="Times New Roman"/>
                <w:sz w:val="24"/>
              </w:rPr>
              <w:t xml:space="preserve"> (</w:t>
            </w:r>
            <w:r>
              <w:rPr>
                <w:rStyle w:val="FormatvorlageInstructionsTabelleText"/>
                <w:rFonts w:ascii="Times New Roman" w:hAnsi="Times New Roman"/>
                <w:sz w:val="24"/>
              </w:rPr>
              <w:t>komercialni</w:t>
            </w:r>
            <w:r>
              <w:rPr>
                <w:rFonts w:ascii="Times New Roman" w:hAnsi="Times New Roman"/>
                <w:sz w:val="24"/>
              </w:rPr>
              <w:t xml:space="preserve"> zapis);</w:t>
            </w:r>
          </w:p>
          <w:p w14:paraId="71AB267C" w14:textId="77777777" w:rsidR="00E05204" w:rsidRPr="0068244B" w:rsidRDefault="00E05204">
            <w:pPr>
              <w:rPr>
                <w:rFonts w:ascii="Times New Roman" w:hAnsi="Times New Roman"/>
                <w:sz w:val="24"/>
              </w:rPr>
            </w:pPr>
            <w:r>
              <w:rPr>
                <w:rFonts w:ascii="Times New Roman" w:hAnsi="Times New Roman"/>
                <w:b/>
                <w:sz w:val="24"/>
              </w:rPr>
              <w:t>CB</w:t>
            </w:r>
            <w:r>
              <w:rPr>
                <w:rFonts w:ascii="Times New Roman" w:hAnsi="Times New Roman"/>
                <w:sz w:val="24"/>
              </w:rPr>
              <w:t xml:space="preserve"> (krite </w:t>
            </w:r>
            <w:r>
              <w:rPr>
                <w:rStyle w:val="FormatvorlageInstructionsTabelleText"/>
                <w:rFonts w:ascii="Times New Roman" w:hAnsi="Times New Roman"/>
                <w:sz w:val="24"/>
              </w:rPr>
              <w:t>obveznice</w:t>
            </w:r>
            <w:r>
              <w:rPr>
                <w:rFonts w:ascii="Times New Roman" w:hAnsi="Times New Roman"/>
                <w:sz w:val="24"/>
              </w:rPr>
              <w:t xml:space="preserve">); </w:t>
            </w:r>
          </w:p>
          <w:p w14:paraId="16004F55" w14:textId="644C50DD" w:rsidR="00E05204" w:rsidRPr="0068244B" w:rsidRDefault="00E05204">
            <w:pPr>
              <w:rPr>
                <w:rFonts w:ascii="Times New Roman" w:hAnsi="Times New Roman"/>
                <w:sz w:val="24"/>
              </w:rPr>
            </w:pPr>
            <w:r>
              <w:rPr>
                <w:rFonts w:ascii="Times New Roman" w:hAnsi="Times New Roman"/>
                <w:b/>
                <w:sz w:val="24"/>
              </w:rPr>
              <w:t>US</w:t>
            </w:r>
            <w:r>
              <w:rPr>
                <w:rFonts w:ascii="Times New Roman" w:hAnsi="Times New Roman"/>
                <w:sz w:val="24"/>
              </w:rPr>
              <w:t xml:space="preserve"> (</w:t>
            </w:r>
            <w:r>
              <w:rPr>
                <w:rStyle w:val="FormatvorlageInstructionsTabelleText"/>
                <w:rFonts w:ascii="Times New Roman" w:hAnsi="Times New Roman"/>
                <w:sz w:val="24"/>
              </w:rPr>
              <w:t>vrednostni papir</w:t>
            </w:r>
            <w:r>
              <w:rPr>
                <w:rFonts w:ascii="Times New Roman" w:hAnsi="Times New Roman"/>
                <w:sz w:val="24"/>
              </w:rPr>
              <w:t xml:space="preserve"> KNPVP, tj. finančni instrumenti, ki predstavljajo enoto kolektivnega naložbenega podjema za vlaganja v prenosljive vrednostne papirje ali vrednostni papir, ki ga izda kolektivni naložbeni podjem za vlaganja v prenosljive vrednostne papirje);</w:t>
            </w:r>
          </w:p>
          <w:p w14:paraId="2E54EB88" w14:textId="77777777" w:rsidR="00E05204" w:rsidRPr="0068244B" w:rsidRDefault="00E05204">
            <w:pPr>
              <w:rPr>
                <w:rFonts w:ascii="Times New Roman" w:hAnsi="Times New Roman"/>
                <w:sz w:val="24"/>
              </w:rPr>
            </w:pPr>
            <w:r>
              <w:rPr>
                <w:rFonts w:ascii="Times New Roman" w:hAnsi="Times New Roman"/>
                <w:b/>
                <w:sz w:val="24"/>
              </w:rPr>
              <w:t>ABS</w:t>
            </w:r>
            <w:r>
              <w:rPr>
                <w:rFonts w:ascii="Times New Roman" w:hAnsi="Times New Roman"/>
                <w:sz w:val="24"/>
              </w:rPr>
              <w:t xml:space="preserve"> (vrednostni papir s premoženjskim kritjem);</w:t>
            </w:r>
          </w:p>
          <w:p w14:paraId="47B806DE" w14:textId="77777777" w:rsidR="00E05204" w:rsidRPr="0068244B" w:rsidRDefault="00E05204">
            <w:pPr>
              <w:rPr>
                <w:rFonts w:ascii="Times New Roman" w:hAnsi="Times New Roman"/>
                <w:sz w:val="24"/>
              </w:rPr>
            </w:pPr>
            <w:proofErr w:type="spellStart"/>
            <w:r>
              <w:rPr>
                <w:rFonts w:ascii="Times New Roman" w:hAnsi="Times New Roman"/>
                <w:b/>
                <w:sz w:val="24"/>
              </w:rPr>
              <w:t>CrCl</w:t>
            </w:r>
            <w:proofErr w:type="spellEnd"/>
            <w:r>
              <w:rPr>
                <w:rFonts w:ascii="Times New Roman" w:hAnsi="Times New Roman"/>
                <w:sz w:val="24"/>
              </w:rPr>
              <w:t xml:space="preserve"> (kreditna </w:t>
            </w:r>
            <w:r>
              <w:rPr>
                <w:rStyle w:val="FormatvorlageInstructionsTabelleText"/>
                <w:rFonts w:ascii="Times New Roman" w:hAnsi="Times New Roman"/>
                <w:sz w:val="24"/>
              </w:rPr>
              <w:t>terjatev</w:t>
            </w:r>
            <w:r>
              <w:rPr>
                <w:rFonts w:ascii="Times New Roman" w:hAnsi="Times New Roman"/>
                <w:sz w:val="24"/>
              </w:rPr>
              <w:t>);</w:t>
            </w:r>
          </w:p>
          <w:p w14:paraId="77F497F4" w14:textId="77777777" w:rsidR="00E05204" w:rsidRPr="0068244B" w:rsidRDefault="00E05204">
            <w:pPr>
              <w:rPr>
                <w:rFonts w:ascii="Times New Roman" w:hAnsi="Times New Roman"/>
                <w:sz w:val="24"/>
              </w:rPr>
            </w:pPr>
            <w:proofErr w:type="spellStart"/>
            <w:r>
              <w:rPr>
                <w:rFonts w:ascii="Times New Roman" w:hAnsi="Times New Roman"/>
                <w:b/>
                <w:sz w:val="24"/>
              </w:rPr>
              <w:t>Eq</w:t>
            </w:r>
            <w:proofErr w:type="spellEnd"/>
            <w:r>
              <w:rPr>
                <w:rFonts w:ascii="Times New Roman" w:hAnsi="Times New Roman"/>
                <w:sz w:val="24"/>
              </w:rPr>
              <w:t xml:space="preserve"> (</w:t>
            </w:r>
            <w:r>
              <w:rPr>
                <w:rStyle w:val="FormatvorlageInstructionsTabelleText"/>
                <w:rFonts w:ascii="Times New Roman" w:hAnsi="Times New Roman"/>
                <w:sz w:val="24"/>
              </w:rPr>
              <w:t>lastniški kapital</w:t>
            </w:r>
            <w:r>
              <w:rPr>
                <w:rFonts w:ascii="Times New Roman" w:hAnsi="Times New Roman"/>
                <w:sz w:val="24"/>
              </w:rPr>
              <w:t>);</w:t>
            </w:r>
          </w:p>
          <w:p w14:paraId="3F4E3AAB" w14:textId="396B9AF6" w:rsidR="00E05204" w:rsidRPr="0068244B" w:rsidRDefault="00E05204">
            <w:pPr>
              <w:rPr>
                <w:rFonts w:ascii="Times New Roman" w:hAnsi="Times New Roman"/>
                <w:b/>
                <w:sz w:val="24"/>
              </w:rPr>
            </w:pPr>
            <w:r>
              <w:rPr>
                <w:rFonts w:ascii="Times New Roman" w:hAnsi="Times New Roman"/>
                <w:b/>
                <w:sz w:val="24"/>
              </w:rPr>
              <w:t>Zlato (če je zlato v fizični obliki, se lahko obravnava kot ena nasprotna stranka);</w:t>
            </w:r>
          </w:p>
          <w:p w14:paraId="6AE61C73" w14:textId="77777777" w:rsidR="00E05204" w:rsidRPr="0068244B" w:rsidRDefault="00E05204">
            <w:pPr>
              <w:rPr>
                <w:rFonts w:ascii="Times New Roman" w:hAnsi="Times New Roman"/>
                <w:sz w:val="24"/>
              </w:rPr>
            </w:pPr>
            <w:proofErr w:type="spellStart"/>
            <w:r>
              <w:rPr>
                <w:rFonts w:ascii="Times New Roman" w:hAnsi="Times New Roman"/>
                <w:b/>
                <w:sz w:val="24"/>
              </w:rPr>
              <w:t>LiqL</w:t>
            </w:r>
            <w:proofErr w:type="spellEnd"/>
            <w:r>
              <w:rPr>
                <w:rFonts w:ascii="Times New Roman" w:hAnsi="Times New Roman"/>
                <w:sz w:val="24"/>
              </w:rPr>
              <w:t xml:space="preserve"> (</w:t>
            </w:r>
            <w:proofErr w:type="spellStart"/>
            <w:r>
              <w:rPr>
                <w:rStyle w:val="FormatvorlageInstructionsTabelleText"/>
                <w:rFonts w:ascii="Times New Roman" w:hAnsi="Times New Roman"/>
                <w:sz w:val="24"/>
              </w:rPr>
              <w:t>nečrpana</w:t>
            </w:r>
            <w:proofErr w:type="spellEnd"/>
            <w:r>
              <w:rPr>
                <w:rFonts w:ascii="Times New Roman" w:hAnsi="Times New Roman"/>
                <w:sz w:val="24"/>
              </w:rPr>
              <w:t xml:space="preserve"> kreditna linija, odobrena instituciji);</w:t>
            </w:r>
          </w:p>
          <w:p w14:paraId="23B5C30F" w14:textId="77777777" w:rsidR="00E05204" w:rsidRPr="0068244B" w:rsidRDefault="00E05204">
            <w:pPr>
              <w:rPr>
                <w:rFonts w:ascii="Times New Roman" w:hAnsi="Times New Roman"/>
                <w:b/>
                <w:sz w:val="24"/>
              </w:rPr>
            </w:pPr>
            <w:r>
              <w:rPr>
                <w:rFonts w:ascii="Times New Roman" w:hAnsi="Times New Roman"/>
                <w:b/>
                <w:sz w:val="24"/>
              </w:rPr>
              <w:lastRenderedPageBreak/>
              <w:t>OPT</w:t>
            </w:r>
            <w:r>
              <w:rPr>
                <w:rFonts w:ascii="Times New Roman" w:hAnsi="Times New Roman"/>
                <w:sz w:val="24"/>
              </w:rPr>
              <w:t xml:space="preserve"> (druga vrsta produkta).</w:t>
            </w:r>
            <w:bookmarkEnd w:id="0"/>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lastRenderedPageBreak/>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Valuta</w:t>
            </w:r>
          </w:p>
          <w:p w14:paraId="1D458B95" w14:textId="403BDA7B" w:rsidR="00C05CCA" w:rsidRPr="0068244B" w:rsidRDefault="004C1638" w:rsidP="00D665FC">
            <w:pPr>
              <w:rPr>
                <w:rFonts w:ascii="Times New Roman" w:hAnsi="Times New Roman"/>
                <w:sz w:val="24"/>
              </w:rPr>
            </w:pPr>
            <w:r>
              <w:rPr>
                <w:rFonts w:ascii="Times New Roman" w:hAnsi="Times New Roman"/>
                <w:sz w:val="24"/>
              </w:rPr>
              <w:t xml:space="preserve">Izdajateljem ali nasprotnim strankam iz stolpca 0010 se v stolpcu 0060 dodeli koda ISO valute, ki ustreza denominaciji prejetega sredstva ali nečrpanih kreditnih linij, odobrenih instituciji. Poroča se </w:t>
            </w:r>
            <w:proofErr w:type="spellStart"/>
            <w:r>
              <w:rPr>
                <w:rFonts w:ascii="Times New Roman" w:hAnsi="Times New Roman"/>
                <w:sz w:val="24"/>
              </w:rPr>
              <w:t>tričrkovna</w:t>
            </w:r>
            <w:proofErr w:type="spellEnd"/>
            <w:r>
              <w:rPr>
                <w:rFonts w:ascii="Times New Roman" w:hAnsi="Times New Roman"/>
                <w:sz w:val="24"/>
              </w:rPr>
              <w:t xml:space="preserve"> koda valute v skladu z ISO 4217. </w:t>
            </w:r>
          </w:p>
          <w:p w14:paraId="74611C9A" w14:textId="7CC928F5" w:rsidR="00774708" w:rsidRPr="0068244B" w:rsidRDefault="00047ECB" w:rsidP="00BC5835">
            <w:pPr>
              <w:rPr>
                <w:rFonts w:ascii="Times New Roman" w:hAnsi="Times New Roman"/>
                <w:sz w:val="24"/>
              </w:rPr>
            </w:pPr>
            <w:r>
              <w:rPr>
                <w:rFonts w:ascii="Times New Roman" w:hAnsi="Times New Roman"/>
                <w:sz w:val="24"/>
              </w:rPr>
              <w:t xml:space="preserve">Kadar je </w:t>
            </w:r>
            <w:proofErr w:type="spellStart"/>
            <w:r>
              <w:rPr>
                <w:rFonts w:ascii="Times New Roman" w:hAnsi="Times New Roman"/>
                <w:sz w:val="24"/>
              </w:rPr>
              <w:t>večvalutna</w:t>
            </w:r>
            <w:proofErr w:type="spellEnd"/>
            <w:r>
              <w:rPr>
                <w:rFonts w:ascii="Times New Roman" w:hAnsi="Times New Roman"/>
                <w:sz w:val="24"/>
              </w:rPr>
              <w:t xml:space="preserve"> linja del koncentracije v sekundarni likvidnosti, se linija upošteva v valuti, ki prevladuje v preostali koncentraciji. Kar zadeva ločeno poročanje v pomembnih valutah, kot je določeno v členu 415(2) Uredbe (EU) št. 575/2013, institucije opravijo oceno valute, v kateri bo verjetno prišlo do toka, in postavko poročajo samo v tej pomembni valuti v skladu z navodili za ločeno poročanje pomembnih valut v zahtevah glede likvidnostnega kritja v skladu z Uredbo (EU) 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Stopnja kreditne kakovosti</w:t>
            </w:r>
          </w:p>
          <w:p w14:paraId="692CB839" w14:textId="76307C3A" w:rsidR="00E05204" w:rsidRPr="0068244B" w:rsidRDefault="00966F82" w:rsidP="00C05CCA">
            <w:pPr>
              <w:rPr>
                <w:rFonts w:ascii="Times New Roman" w:hAnsi="Times New Roman"/>
                <w:sz w:val="24"/>
                <w:u w:val="single"/>
              </w:rPr>
            </w:pPr>
            <w:r>
              <w:rPr>
                <w:rFonts w:ascii="Times New Roman" w:hAnsi="Times New Roman"/>
                <w:sz w:val="24"/>
              </w:rPr>
              <w:t>Ustrezna stopnja kreditne kakovosti se dodeli v skladu z Uredbo (EU) št. 575/2013 in je enaka kot stopnja postavk, ki se poročajo v lestvici zapadlosti. Kadar ocena ni na voljo, se dodeli stopnja „brez ocene“.</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Tekoča tržna vrednost/nominalna</w:t>
            </w:r>
          </w:p>
          <w:p w14:paraId="78CE7B68" w14:textId="6F7E8537" w:rsidR="00E05204" w:rsidRPr="0068244B" w:rsidRDefault="00E05204" w:rsidP="00047ECB">
            <w:pPr>
              <w:rPr>
                <w:rFonts w:ascii="Times New Roman" w:hAnsi="Times New Roman"/>
                <w:sz w:val="24"/>
              </w:rPr>
            </w:pPr>
            <w:r>
              <w:rPr>
                <w:rFonts w:ascii="Times New Roman" w:hAnsi="Times New Roman"/>
                <w:sz w:val="24"/>
              </w:rPr>
              <w:t xml:space="preserve">Tržna ali poštena vrednost sredstev ali, če je ustrezno, nominalna vrednost nečrpane kreditne linije, odobrene instituciji.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Vrednost zavarovanja s premoženjem, primernega za centralne banke</w:t>
            </w:r>
          </w:p>
          <w:p w14:paraId="507C4FE8" w14:textId="2A6E5839" w:rsidR="00E05204" w:rsidRPr="0068244B" w:rsidRDefault="00E05204" w:rsidP="00047ECB">
            <w:pPr>
              <w:rPr>
                <w:rFonts w:ascii="Times New Roman" w:hAnsi="Times New Roman"/>
                <w:sz w:val="24"/>
              </w:rPr>
            </w:pPr>
            <w:r>
              <w:rPr>
                <w:rFonts w:ascii="Times New Roman" w:hAnsi="Times New Roman"/>
                <w:sz w:val="24"/>
              </w:rPr>
              <w:t>Vrednost zavarovanja s premoženjem v skladu s pravili centralne banke za odprte ponudbe za posamezna sredstva.</w:t>
            </w:r>
          </w:p>
          <w:p w14:paraId="4C124B93" w14:textId="0E66424F" w:rsidR="00BA0551" w:rsidRPr="0068244B" w:rsidRDefault="00B457F4" w:rsidP="00515147">
            <w:pPr>
              <w:rPr>
                <w:rFonts w:ascii="Times New Roman" w:hAnsi="Times New Roman"/>
                <w:sz w:val="24"/>
              </w:rPr>
            </w:pPr>
            <w:r>
              <w:rPr>
                <w:rFonts w:ascii="Times New Roman" w:hAnsi="Times New Roman"/>
                <w:sz w:val="24"/>
              </w:rPr>
              <w:t xml:space="preserve">V primeru sredstev, </w:t>
            </w:r>
            <w:proofErr w:type="spellStart"/>
            <w:r>
              <w:rPr>
                <w:rFonts w:ascii="Times New Roman" w:hAnsi="Times New Roman"/>
                <w:sz w:val="24"/>
              </w:rPr>
              <w:t>denominiranih</w:t>
            </w:r>
            <w:proofErr w:type="spellEnd"/>
            <w:r>
              <w:rPr>
                <w:rFonts w:ascii="Times New Roman" w:hAnsi="Times New Roman"/>
                <w:sz w:val="24"/>
              </w:rPr>
              <w:t xml:space="preserve"> v valuti, ki je vključena Izvedbeno uredbo Komisije (EU) 2015/233</w:t>
            </w:r>
            <w:r>
              <w:rPr>
                <w:rFonts w:ascii="Times New Roman" w:hAnsi="Times New Roman"/>
                <w:sz w:val="24"/>
                <w:vertAlign w:val="superscript"/>
              </w:rPr>
              <w:t>*</w:t>
            </w:r>
            <w:r>
              <w:rPr>
                <w:rFonts w:ascii="Times New Roman" w:hAnsi="Times New Roman"/>
                <w:sz w:val="24"/>
              </w:rPr>
              <w:t xml:space="preserve"> kot valuta z izjemno omejeno primernostjo za centralne banke, institucije pustijo to polje prazno.</w:t>
            </w:r>
          </w:p>
        </w:tc>
      </w:tr>
    </w:tbl>
    <w:p w14:paraId="2BD524BD" w14:textId="77777777" w:rsidR="00515147" w:rsidRPr="0068244B" w:rsidRDefault="00515147" w:rsidP="00845EB1">
      <w:pPr>
        <w:pStyle w:val="InstructionsText"/>
      </w:pPr>
      <w:r>
        <w:t>______________</w:t>
      </w:r>
    </w:p>
    <w:p w14:paraId="56E0854E" w14:textId="1884330D" w:rsidR="00D02FE4" w:rsidRPr="00845EB1" w:rsidRDefault="00515147" w:rsidP="00515147">
      <w:pPr>
        <w:pStyle w:val="InstructionsText"/>
        <w:rPr>
          <w:rStyle w:val="InstructionsTabelleText"/>
          <w:b/>
        </w:rPr>
      </w:pPr>
      <w:r>
        <w:rPr>
          <w:vertAlign w:val="superscript"/>
        </w:rPr>
        <w:t>*</w:t>
      </w:r>
      <w:r>
        <w:t xml:space="preserve"> Izvedbena uredba Komisije (EU) 2015/233 z dne 13. februarja 2015 o določitvi izvedbenih tehničnih standardov za valute, v katerih je opredelitev ustreznosti centralne banke izjemno omejena, v skladu z Uredbo (EU) št. 575/2013 Evropskega parlamenta in Sveta (UL L 39, 14.2.2015, str. 11).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16cid:durableId="335428682">
    <w:abstractNumId w:val="2"/>
  </w:num>
  <w:num w:numId="2" w16cid:durableId="1225527210">
    <w:abstractNumId w:val="1"/>
  </w:num>
  <w:num w:numId="3" w16cid:durableId="170702772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87570"/>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sl-SI"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sl-SI"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sl-SI"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l-SI" w:eastAsia="en-US" w:bidi="ar-SA"/>
    </w:rPr>
  </w:style>
  <w:style w:type="character" w:customStyle="1" w:styleId="FunoteChar">
    <w:name w:val="Fußnote Char"/>
    <w:aliases w:val=" Char Char Char"/>
    <w:semiHidden/>
    <w:rsid w:val="009D253B"/>
    <w:rPr>
      <w:rFonts w:ascii="Arial" w:hAnsi="Arial"/>
      <w:sz w:val="18"/>
      <w:lang w:val="sl-SI"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sl-SI"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l-SI"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l-SI"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sl-SI"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sl-SI"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sl-SI"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customXml/itemProps2.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3.xml><?xml version="1.0" encoding="utf-8"?>
<ds:datastoreItem xmlns:ds="http://schemas.openxmlformats.org/officeDocument/2006/customXml" ds:itemID="{8121ED8F-8309-4931-A553-956FECF286AF}"/>
</file>

<file path=customXml/itemProps4.xml><?xml version="1.0" encoding="utf-8"?>
<ds:datastoreItem xmlns:ds="http://schemas.openxmlformats.org/officeDocument/2006/customXml" ds:itemID="{2F4B7663-50C8-4B08-A8EE-55B20579F79A}"/>
</file>

<file path=customXml/itemProps5.xml><?xml version="1.0" encoding="utf-8"?>
<ds:datastoreItem xmlns:ds="http://schemas.openxmlformats.org/officeDocument/2006/customXml" ds:itemID="{687A59E9-80D4-4A06-A72B-85D2A4F1B22D}"/>
</file>

<file path=docProps/app.xml><?xml version="1.0" encoding="utf-8"?>
<Properties xmlns="http://schemas.openxmlformats.org/officeDocument/2006/extended-properties" xmlns:vt="http://schemas.openxmlformats.org/officeDocument/2006/docPropsVTypes">
  <Template>Normal</Template>
  <TotalTime>0</TotalTime>
  <Pages>3</Pages>
  <Words>850</Words>
  <Characters>5215</Characters>
  <Application>Microsoft Office Word</Application>
  <DocSecurity>0</DocSecurity>
  <Lines>124</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2025-01-24T11:20:00Z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2025-01-24T11:20:37Z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784efe28-7f5d-4355-b8b1-8d7ea750f797</vt:lpwstr>
  </property>
  <property fmtid="{D5CDD505-2E9C-101B-9397-08002B2CF9AE}" pid="15" name="MSIP_Label_6bd9ddd1-4d20-43f6-abfa-fc3c07406f94_ContentBits">
    <vt:lpwstr>0</vt:lpwstr>
  </property>
  <property fmtid="{D5CDD505-2E9C-101B-9397-08002B2CF9AE}" pid="16" name="ContentTypeId">
    <vt:lpwstr>0x010100A640DC13EB184F4EBE5AA21BE9F247DB</vt:lpwstr>
  </property>
</Properties>
</file>